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color w:val="222222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30"/>
          <w:szCs w:val="30"/>
          <w:rtl w:val="0"/>
        </w:rPr>
        <w:t xml:space="preserve">Skolehelsetjenestens arbeidsområde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0"/>
        </w:rPr>
        <w:t xml:space="preserve">Skolehelsetjenesten er et lovpålagt helsetilbud til alle barn og unge. Skolehelsetjenesten skal være en lett tilgjengelig og gratis tjeneste, med fokus på helsefremming, forebygging og tidlig intervensjon.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0"/>
        </w:rPr>
        <w:t xml:space="preserve">Skolehelsetjenesten skal jobbe på individ-, gruppe-, og systemnivå. Tjenesten er tverrfaglig (helsesøster, skolelege, fysioterapeut, ergoterapeut), og har et friskfokus som fremmer ressurser og sterke sider hos barn, unge og foreldre. 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color w:val="222222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u w:val="single"/>
          <w:rtl w:val="0"/>
        </w:rPr>
        <w:t xml:space="preserve">Målet med  skolehelsetjenestene er å: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84.0000000000000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0"/>
        </w:rPr>
        <w:t xml:space="preserve">fremme psykisk og fysisk helse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84.0000000000000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0"/>
        </w:rPr>
        <w:t xml:space="preserve">fremme gode sosiale og miljømessige forhold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84.0000000000000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color w:val="222222"/>
          <w:sz w:val="30"/>
          <w:szCs w:val="30"/>
          <w:rtl w:val="0"/>
        </w:rPr>
        <w:t xml:space="preserve">forebygge sykdommer og skader</w:t>
      </w:r>
    </w:p>
    <w:p w:rsidR="00000000" w:rsidDel="00000000" w:rsidP="00000000" w:rsidRDefault="00000000" w:rsidRPr="00000000" w14:paraId="00000009">
      <w:pPr>
        <w:spacing w:line="384.00000000000006" w:lineRule="auto"/>
        <w:contextualSpacing w:val="0"/>
        <w:rPr>
          <w:rFonts w:ascii="Calibri" w:cs="Calibri" w:eastAsia="Calibri" w:hAnsi="Calibri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Alle foreldre/ foresatte kan ta kontakt med helsesøster på skolen hvis de har bekymringer/spørsmål rundt elevens helse/trivsel. Mer info finnes på skolens nettsider.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Skolen og skolehelsetjenesten har et forpliktende samarbeid  vedrørende forebygging og oppfølging av fravær gjennom “Samarbeidsavtalen mellom grunnskolen og skolehelsetjenesten i Trondheim kommune”.  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color w:val="222222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